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widowControl w:val="0"/>
        <w:spacing w:before="100" w:after="100"/>
        <w:jc w:val="center"/>
        <w:outlineLvl w:val="0"/>
        <w:rPr>
          <w:rFonts w:ascii="宋体" w:hAnsi="宋体" w:eastAsia="宋体" w:cs="宋体"/>
          <w:b/>
          <w:bCs/>
          <w:color w:val="000000"/>
          <w:kern w:val="44"/>
          <w:sz w:val="32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000000"/>
          <w:kern w:val="44"/>
          <w:sz w:val="32"/>
          <w:szCs w:val="44"/>
          <w:lang w:val="en-US" w:eastAsia="zh-CN" w:bidi="ar-SA"/>
        </w:rPr>
        <w:t>项目需求及服务要求</w:t>
      </w:r>
    </w:p>
    <w:p>
      <w:pPr>
        <w:widowControl/>
        <w:spacing w:line="500" w:lineRule="exact"/>
        <w:ind w:firstLine="430"/>
        <w:jc w:val="left"/>
        <w:rPr>
          <w:rFonts w:ascii="宋体" w:hAnsi="宋体" w:eastAsia="宋体" w:cs="宋体"/>
          <w:b/>
          <w:bCs/>
          <w:color w:val="000000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szCs w:val="21"/>
        </w:rPr>
        <w:t>为鼓励不同品牌的充分竞争，如某设备的某技术参数或要求属于个别品牌专有，则该技术参数及要求不具有限制性，谈判响应人可对该参数或要求进行适当调整，但这种调整整体上要优于或相当于竞争性谈判文件的相关要求，并说明调整理由，且该调整须经谈判小组审核认可。</w:t>
      </w:r>
      <w:bookmarkStart w:id="0" w:name="_Toc24273"/>
    </w:p>
    <w:p>
      <w:pPr>
        <w:widowControl/>
        <w:spacing w:line="500" w:lineRule="exact"/>
        <w:ind w:firstLine="405"/>
        <w:jc w:val="left"/>
        <w:rPr>
          <w:rFonts w:ascii="宋体" w:hAnsi="宋体" w:eastAsia="宋体" w:cs="Times New Roman"/>
          <w:b/>
          <w:bCs/>
          <w:szCs w:val="21"/>
        </w:rPr>
      </w:pPr>
      <w:bookmarkStart w:id="1" w:name="_Toc28001"/>
      <w:r>
        <w:rPr>
          <w:rFonts w:hint="eastAsia" w:ascii="宋体" w:hAnsi="宋体" w:eastAsia="宋体" w:cs="Times New Roman"/>
          <w:b/>
          <w:bCs/>
          <w:szCs w:val="21"/>
        </w:rPr>
        <w:t>1、在采购活动开始前没有获准采购进口产品而开展采购活动的，视同为拒绝采购进口产品。</w:t>
      </w:r>
    </w:p>
    <w:p>
      <w:pPr>
        <w:widowControl/>
        <w:spacing w:line="500" w:lineRule="exact"/>
        <w:ind w:firstLine="405"/>
        <w:jc w:val="left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2、根据“关于印发《政府采购进口产品管理办法》的通知”及“关于政府采购进口产品管理有关问题的通知”的相关规定：下列采购需求中标注进口产品的货物均已履行相关论证手续，经核准采购进口产品，但不限制满足招标文件要求的国内产品参与竞争。未标注进口产品的货物均为拒绝采购进口产品。</w:t>
      </w:r>
    </w:p>
    <w:p>
      <w:pPr>
        <w:widowControl/>
        <w:spacing w:line="500" w:lineRule="exact"/>
        <w:ind w:firstLine="405"/>
        <w:jc w:val="left"/>
        <w:rPr>
          <w:rFonts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3、中标人提供的货物为进口产品的，供货时须向采购人提供所投进口产品的海关报关单等证明材料。</w:t>
      </w:r>
    </w:p>
    <w:p>
      <w:pPr>
        <w:widowControl w:val="0"/>
        <w:tabs>
          <w:tab w:val="left" w:pos="567"/>
        </w:tabs>
        <w:spacing w:before="120" w:line="22" w:lineRule="atLeast"/>
        <w:jc w:val="both"/>
        <w:rPr>
          <w:rFonts w:ascii="宋体" w:hAnsi="宋体" w:eastAsia="宋体" w:cs="Times New Roman"/>
          <w:b/>
          <w:bCs/>
          <w:kern w:val="2"/>
          <w:sz w:val="24"/>
          <w:szCs w:val="21"/>
          <w:lang w:val="en-US" w:eastAsia="zh-CN" w:bidi="ar-SA"/>
        </w:rPr>
      </w:pPr>
    </w:p>
    <w:p>
      <w:pPr>
        <w:widowControl w:val="0"/>
        <w:tabs>
          <w:tab w:val="left" w:pos="567"/>
        </w:tabs>
        <w:spacing w:before="120" w:line="22" w:lineRule="atLeast"/>
        <w:jc w:val="both"/>
        <w:rPr>
          <w:rFonts w:ascii="宋体" w:hAnsi="宋体" w:eastAsia="宋体" w:cs="Times New Roman"/>
          <w:b/>
          <w:bCs/>
          <w:kern w:val="2"/>
          <w:sz w:val="24"/>
          <w:szCs w:val="21"/>
          <w:lang w:val="en-US" w:eastAsia="zh-CN" w:bidi="ar-SA"/>
        </w:rPr>
      </w:pPr>
    </w:p>
    <w:p>
      <w:pPr>
        <w:widowControl w:val="0"/>
        <w:tabs>
          <w:tab w:val="left" w:pos="567"/>
        </w:tabs>
        <w:spacing w:before="120" w:line="22" w:lineRule="atLeast"/>
        <w:jc w:val="both"/>
        <w:rPr>
          <w:rFonts w:ascii="宋体" w:hAnsi="宋体" w:eastAsia="宋体" w:cs="Times New Roman"/>
          <w:b/>
          <w:bCs/>
          <w:kern w:val="2"/>
          <w:sz w:val="24"/>
          <w:szCs w:val="21"/>
          <w:lang w:val="en-US" w:eastAsia="zh-CN" w:bidi="ar-SA"/>
        </w:rPr>
      </w:pPr>
    </w:p>
    <w:p>
      <w:pPr>
        <w:widowControl w:val="0"/>
        <w:tabs>
          <w:tab w:val="left" w:pos="567"/>
        </w:tabs>
        <w:spacing w:before="120" w:line="22" w:lineRule="atLeast"/>
        <w:jc w:val="both"/>
        <w:rPr>
          <w:rFonts w:ascii="宋体" w:hAnsi="宋体" w:eastAsia="宋体" w:cs="Times New Roman"/>
          <w:b/>
          <w:bCs/>
          <w:kern w:val="2"/>
          <w:sz w:val="24"/>
          <w:szCs w:val="21"/>
          <w:lang w:val="en-US" w:eastAsia="zh-CN" w:bidi="ar-SA"/>
        </w:rPr>
      </w:pPr>
    </w:p>
    <w:p>
      <w:pPr>
        <w:widowControl w:val="0"/>
        <w:tabs>
          <w:tab w:val="left" w:pos="567"/>
        </w:tabs>
        <w:spacing w:before="120" w:line="22" w:lineRule="atLeast"/>
        <w:jc w:val="both"/>
        <w:rPr>
          <w:rFonts w:ascii="宋体" w:hAnsi="宋体" w:eastAsia="宋体" w:cs="Times New Roman"/>
          <w:b/>
          <w:bCs/>
          <w:kern w:val="2"/>
          <w:sz w:val="24"/>
          <w:szCs w:val="21"/>
          <w:lang w:val="en-US" w:eastAsia="zh-CN" w:bidi="ar-SA"/>
        </w:rPr>
      </w:pPr>
    </w:p>
    <w:p>
      <w:pPr>
        <w:widowControl w:val="0"/>
        <w:tabs>
          <w:tab w:val="left" w:pos="567"/>
        </w:tabs>
        <w:spacing w:before="120" w:line="22" w:lineRule="atLeast"/>
        <w:jc w:val="both"/>
        <w:rPr>
          <w:rFonts w:ascii="宋体" w:hAnsi="宋体" w:eastAsia="宋体" w:cs="Times New Roman"/>
          <w:b/>
          <w:bCs/>
          <w:kern w:val="2"/>
          <w:sz w:val="24"/>
          <w:szCs w:val="21"/>
          <w:lang w:val="en-US" w:eastAsia="zh-CN" w:bidi="ar-SA"/>
        </w:rPr>
      </w:pPr>
    </w:p>
    <w:p>
      <w:pPr>
        <w:widowControl w:val="0"/>
        <w:tabs>
          <w:tab w:val="left" w:pos="567"/>
        </w:tabs>
        <w:spacing w:before="120" w:line="22" w:lineRule="atLeast"/>
        <w:jc w:val="both"/>
        <w:rPr>
          <w:rFonts w:ascii="宋体" w:hAnsi="宋体" w:eastAsia="宋体" w:cs="Times New Roman"/>
          <w:b/>
          <w:bCs/>
          <w:kern w:val="2"/>
          <w:sz w:val="24"/>
          <w:szCs w:val="21"/>
          <w:lang w:val="en-US" w:eastAsia="zh-CN" w:bidi="ar-SA"/>
        </w:rPr>
      </w:pPr>
    </w:p>
    <w:p>
      <w:pPr>
        <w:widowControl w:val="0"/>
        <w:tabs>
          <w:tab w:val="left" w:pos="567"/>
        </w:tabs>
        <w:spacing w:before="120" w:line="22" w:lineRule="atLeast"/>
        <w:jc w:val="both"/>
        <w:rPr>
          <w:rFonts w:ascii="宋体" w:hAnsi="宋体" w:eastAsia="宋体" w:cs="Times New Roman"/>
          <w:b/>
          <w:bCs/>
          <w:kern w:val="2"/>
          <w:sz w:val="24"/>
          <w:szCs w:val="21"/>
          <w:lang w:val="en-US" w:eastAsia="zh-CN" w:bidi="ar-SA"/>
        </w:rPr>
      </w:pPr>
    </w:p>
    <w:p>
      <w:pPr>
        <w:widowControl w:val="0"/>
        <w:tabs>
          <w:tab w:val="left" w:pos="567"/>
        </w:tabs>
        <w:spacing w:before="120" w:line="22" w:lineRule="atLeast"/>
        <w:jc w:val="both"/>
        <w:rPr>
          <w:rFonts w:ascii="宋体" w:hAnsi="宋体" w:eastAsia="宋体" w:cs="Times New Roman"/>
          <w:b/>
          <w:bCs/>
          <w:kern w:val="2"/>
          <w:sz w:val="24"/>
          <w:szCs w:val="21"/>
          <w:lang w:val="en-US" w:eastAsia="zh-CN" w:bidi="ar-SA"/>
        </w:rPr>
      </w:pPr>
    </w:p>
    <w:p>
      <w:pPr>
        <w:widowControl w:val="0"/>
        <w:tabs>
          <w:tab w:val="left" w:pos="567"/>
        </w:tabs>
        <w:spacing w:before="120" w:line="22" w:lineRule="atLeast"/>
        <w:jc w:val="both"/>
        <w:rPr>
          <w:rFonts w:ascii="宋体" w:hAnsi="宋体" w:eastAsia="宋体" w:cs="Times New Roman"/>
          <w:b/>
          <w:bCs/>
          <w:kern w:val="2"/>
          <w:sz w:val="24"/>
          <w:szCs w:val="21"/>
          <w:lang w:val="en-US" w:eastAsia="zh-CN" w:bidi="ar-SA"/>
        </w:rPr>
      </w:pPr>
    </w:p>
    <w:p>
      <w:pPr>
        <w:widowControl w:val="0"/>
        <w:tabs>
          <w:tab w:val="left" w:pos="567"/>
        </w:tabs>
        <w:spacing w:before="120" w:line="22" w:lineRule="atLeast"/>
        <w:jc w:val="both"/>
        <w:rPr>
          <w:rFonts w:ascii="宋体" w:hAnsi="宋体" w:eastAsia="宋体" w:cs="Times New Roman"/>
          <w:b/>
          <w:bCs/>
          <w:kern w:val="2"/>
          <w:sz w:val="24"/>
          <w:szCs w:val="21"/>
          <w:lang w:val="en-US" w:eastAsia="zh-CN" w:bidi="ar-SA"/>
        </w:rPr>
      </w:pPr>
    </w:p>
    <w:p>
      <w:pPr>
        <w:widowControl w:val="0"/>
        <w:tabs>
          <w:tab w:val="left" w:pos="567"/>
        </w:tabs>
        <w:spacing w:before="120" w:line="22" w:lineRule="atLeast"/>
        <w:jc w:val="both"/>
        <w:rPr>
          <w:rFonts w:ascii="宋体" w:hAnsi="宋体" w:eastAsia="宋体" w:cs="Times New Roman"/>
          <w:b/>
          <w:bCs/>
          <w:kern w:val="2"/>
          <w:sz w:val="24"/>
          <w:szCs w:val="21"/>
          <w:lang w:val="en-US" w:eastAsia="zh-CN" w:bidi="ar-SA"/>
        </w:rPr>
      </w:pPr>
    </w:p>
    <w:p>
      <w:pPr>
        <w:widowControl w:val="0"/>
        <w:tabs>
          <w:tab w:val="left" w:pos="567"/>
        </w:tabs>
        <w:spacing w:before="120" w:line="22" w:lineRule="atLeast"/>
        <w:jc w:val="both"/>
        <w:rPr>
          <w:rFonts w:ascii="宋体" w:hAnsi="宋体" w:eastAsia="宋体" w:cs="Times New Roman"/>
          <w:b/>
          <w:bCs/>
          <w:kern w:val="2"/>
          <w:sz w:val="24"/>
          <w:szCs w:val="21"/>
          <w:lang w:val="en-US" w:eastAsia="zh-CN" w:bidi="ar-SA"/>
        </w:rPr>
      </w:pPr>
    </w:p>
    <w:p>
      <w:pPr>
        <w:widowControl w:val="0"/>
        <w:tabs>
          <w:tab w:val="left" w:pos="567"/>
        </w:tabs>
        <w:spacing w:before="120" w:line="22" w:lineRule="atLeast"/>
        <w:jc w:val="both"/>
        <w:rPr>
          <w:rFonts w:ascii="宋体" w:hAnsi="宋体" w:eastAsia="宋体" w:cs="Times New Roman"/>
          <w:b/>
          <w:bCs/>
          <w:kern w:val="2"/>
          <w:sz w:val="24"/>
          <w:szCs w:val="21"/>
          <w:lang w:val="en-US" w:eastAsia="zh-CN" w:bidi="ar-SA"/>
        </w:rPr>
      </w:pPr>
    </w:p>
    <w:p>
      <w:pPr>
        <w:widowControl w:val="0"/>
        <w:tabs>
          <w:tab w:val="left" w:pos="567"/>
        </w:tabs>
        <w:spacing w:before="120" w:line="22" w:lineRule="atLeast"/>
        <w:jc w:val="both"/>
        <w:rPr>
          <w:rFonts w:ascii="宋体" w:hAnsi="宋体" w:eastAsia="宋体" w:cs="Times New Roman"/>
          <w:b/>
          <w:bCs/>
          <w:kern w:val="2"/>
          <w:sz w:val="24"/>
          <w:szCs w:val="21"/>
          <w:lang w:val="en-US" w:eastAsia="zh-CN" w:bidi="ar-SA"/>
        </w:rPr>
      </w:pPr>
    </w:p>
    <w:p>
      <w:pPr>
        <w:widowControl w:val="0"/>
        <w:tabs>
          <w:tab w:val="left" w:pos="567"/>
        </w:tabs>
        <w:spacing w:before="120" w:line="22" w:lineRule="atLeast"/>
        <w:jc w:val="both"/>
        <w:rPr>
          <w:rFonts w:ascii="宋体" w:hAnsi="宋体" w:eastAsia="宋体" w:cs="Times New Roman"/>
          <w:b/>
          <w:bCs/>
          <w:kern w:val="2"/>
          <w:sz w:val="24"/>
          <w:szCs w:val="21"/>
          <w:lang w:val="en-US" w:eastAsia="zh-CN" w:bidi="ar-SA"/>
        </w:rPr>
      </w:pPr>
    </w:p>
    <w:p>
      <w:pPr>
        <w:widowControl w:val="0"/>
        <w:tabs>
          <w:tab w:val="left" w:pos="567"/>
        </w:tabs>
        <w:spacing w:before="120" w:line="22" w:lineRule="atLeast"/>
        <w:jc w:val="both"/>
        <w:rPr>
          <w:rFonts w:ascii="宋体" w:hAnsi="宋体" w:eastAsia="宋体" w:cs="Times New Roman"/>
          <w:b/>
          <w:bCs/>
          <w:kern w:val="2"/>
          <w:sz w:val="24"/>
          <w:szCs w:val="21"/>
          <w:lang w:val="en-US" w:eastAsia="zh-CN" w:bidi="ar-SA"/>
        </w:rPr>
      </w:pPr>
    </w:p>
    <w:p>
      <w:pPr>
        <w:keepNext/>
        <w:keepLines/>
        <w:widowControl w:val="0"/>
        <w:wordWrap w:val="0"/>
        <w:autoSpaceDE w:val="0"/>
        <w:autoSpaceDN w:val="0"/>
        <w:adjustRightInd w:val="0"/>
        <w:spacing w:line="440" w:lineRule="exact"/>
        <w:ind w:firstLine="472" w:firstLineChars="196"/>
        <w:jc w:val="left"/>
        <w:outlineLvl w:val="2"/>
        <w:rPr>
          <w:rFonts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0"/>
          <w:lang w:val="en-US" w:eastAsia="zh-CN" w:bidi="ar-SA"/>
        </w:rPr>
        <w:t>一、</w:t>
      </w:r>
      <w:bookmarkEnd w:id="0"/>
      <w:bookmarkEnd w:id="1"/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-SA"/>
        </w:rPr>
        <w:t>项目建设采购清单</w:t>
      </w:r>
    </w:p>
    <w:tbl>
      <w:tblPr>
        <w:tblStyle w:val="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573"/>
        <w:gridCol w:w="6531"/>
        <w:gridCol w:w="473"/>
        <w:gridCol w:w="4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bookmarkStart w:id="2" w:name="_Toc4579"/>
            <w:bookmarkStart w:id="3" w:name="_Toc8852"/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主要技术参数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48口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磁盘阵列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1. 服务器配置：≥1颗64位多核处理器，≥4GB内存，内存支持扩展到≥128GB，内置SSD固态硬盘，配置≥6个风扇，支持风扇热插拔冗余温控调速风扇。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2. 支持热插拔1+1AC220V 或 1+1 直流冗余金牌电源供电，机箱具备防尘滤网，采用双立柱防震设计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3. 标配≥2个千兆网口，可增扩≥6个千兆网口，或可增扩≥4个10Gb 光纤接口或≥6个HDMI接口或≥4个Mini SAS3.0接口；支持≥12级扩展柜级联扩展；可支持12GB SAS扩展口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4. 可接入2T/3T/4T/6T/8T/10T/12T/14T/16T/18T/20T SATA/SAS硬盘；支持硬盘交错/分时启动，节省功耗。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5. 具有48块硬盘热插拔插槽；支持硬盘热插拔设备在读写数据时，热插拔设备内的任意块硬盘，设备正常运行不宕机，硬盘不损坏，数据不丢失，业务不中断。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6. 配备独立元数据系统、支持元数据系统组成RAID和网络RAID（N+M配置，且M≥8），一组RAID故障时其业务可自动切换至其他网络RAID组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7. 支持视音频、图片、智能数据流进行混合直存，无须存储服务器和图片服务器的参与，平台服务器宕机时，存储业务正常；支持国际GB/T 28181和Onvif视频流直存模式；支持iSCSI直存功能，前端网络摄像机和设备之间可直接通过iSCSI协议进行块存储；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8. 支持 ONVIF、PSIA、TCP/IP、UDP、SIP、SIP2.0、RTSP、RTP、RTCP、iSCSI、CIFS(SMB)、NFS、FTP、HTTP、AFP、RSYNC、SNMP、IPV4、IPV6、HLS、S3、OSS等协议，支持IP组播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9. 应能接入并存储3072Mbps视频图像，同时转发3072Mbps的视频图像，同时下载3072Mbps的视频图像；同时回放600Mbps的视频图像；在转发模式下，可进行4096路2Mbps视频码流转发；在总带宽不变的情况下，接入、转发、回放间的性能值可自由调整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10. 支持不低于1536Mbps图片转发；支持不低于1536Mbps图片并发输入，同时不低于1536Mbps图片并发输出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11. 网络中断后重新恢复，可续存断网期间存储在前端设备中的录像文件，并可通过IE浏览器设置自动回传和手动回传；支持256路4Mbps的录像回传。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12. 支持网络RAID纠删码技术，多台存储设备组建网络RAID，设置为负载均衡；单台或多台存储设备组建网络RAID，允许每组RAID中任意1-12个磁盘发生故障，数据不丢失，存储服务不中断；允许每组RAID中任意18块硬盘发生故障，业务不中断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13. 支持查看硬盘体检报告、硬盘深度体检和磁盘档案；支持下载单个硬盘或批量硬盘的报告，支持按时间显示硬盘的坏扇区、温度、振动变化趋势的曲线图；；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14. 可扩展支持将前端一路视频流同时存入两台存储；支持双机间编码器和录像同步，故障时可进行互相接管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15. ★支持红灯/蓝灯报警，可根据故障紧急程度分级报警，不同级别闪烁不同颜色保养灯，保养灯闪烁时长、频率可设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.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ab/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支持磁盘故障重构，可根据业务需要配置重构速度，支持低速、中速、高速和全速四种重构速度配置，可通过客户端软件显示重构速度；可根据自身业务量自动调节重构速度，当设备空间资源达到预设值时，可自动提高重构速度，当空间资源低于预设值时，可自动降低重构速度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. 更换系统盘并配置好信息后，再次开机无需人工介入，可自动恢复业务，历史数据不应丢失。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(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需提供公安部检测报告证明并加盖制造厂商公章，供货时需提供报告证明原件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)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18. ★支持≥6个容器，存储业务模块可存放在不同容器中，业务之间互相隔离，一个业务模块发生故障时，不影响其它业务模块。当一个业务模块异常，系统可自动重启业务模块并恢复原有业务；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19. 支持容器镜像管理，包括容器镜像启动/暂停、业务升级/回退、上传/删除，支持添加新业务，支持修改容器镜像IP地址、业务参数，支持查看容器镜像中业务信息（包括：CPU使用率、内存使用量、网络流量、业务所在节点）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20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 xml:space="preserve">. 可对视音频、图片、结构化数据、对象等文件进行混合存储，并可通过http和https方式下载 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21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. 可在KVM虚拟化环境下进行U盘等硬件热插拔；可对虚机镜像进行异常监控；可在无独立显卡情况下，使用主板CPU集成显卡为虚拟机提供视频图像显示能力</w:t>
            </w:r>
          </w:p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. 设备支持版本回退功能，在当前版本出现故障或操作失误后，可进行回退到历史版本，回退后录像正常回放，且历史录像完整；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以上标★项为重要指标参数，需提供公安部检测报告证明并加盖制造厂商公章，供货时需提供报告证明原件，若不能提供则视为虚假响应。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.确保与学校原有存储监控系统兼容且正常使用，提供承诺函并加盖投标人公章。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存储硬盘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8T,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缓存256MB,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3.5寸,SATA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监控专用硬盘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设备安装系统集成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辅材数量以现场实际需求为准，结算时，施工辅材项包含在报价中，采购人不得增加额外费用，供应商可自行踏勘现场。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</w:tr>
      <w:bookmarkEnd w:id="2"/>
      <w:bookmarkEnd w:id="3"/>
    </w:tbl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jYTA2NWVlMjZiZWExNDM3NWU0MmQ0N2Q1MmJiZDcifQ=="/>
  </w:docVars>
  <w:rsids>
    <w:rsidRoot w:val="3B30037C"/>
    <w:rsid w:val="3B30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2022-11-21T01:01:00Z</dcterms:created>
  <dc:creator>随便</dc:creator>
  <cp:lastModifiedBy>随便</cp:lastModifiedBy>
  <dcterms:modified xsi:type="dcterms:W3CDTF">2022-11-21T01:01:56Z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FF13EA2DAE524CCABEAA41A2A39629B7</vt:lpwstr>
  </property>
</Properties>
</file>