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" w:beforeLines="20" w:after="62" w:afterLines="20" w:line="480" w:lineRule="exact"/>
        <w:ind w:firstLine="0" w:firstLineChars="0"/>
        <w:jc w:val="center"/>
        <w:rPr>
          <w:rFonts w:ascii="宋体" w:hAnsi="宋体"/>
          <w:b/>
          <w:bCs/>
          <w:color w:val="auto"/>
          <w:sz w:val="24"/>
          <w:highlight w:val="none"/>
        </w:rPr>
      </w:pPr>
      <w:bookmarkStart w:id="7" w:name="_GoBack"/>
      <w:bookmarkStart w:id="0" w:name="_Toc439316879"/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zh-CN"/>
        </w:rPr>
        <w:t>需求及技术要求</w:t>
      </w:r>
      <w:r>
        <w:rPr>
          <w:rFonts w:ascii="Arial" w:hAnsi="Arial"/>
          <w:color w:val="auto"/>
          <w:kern w:val="2"/>
          <w:sz w:val="32"/>
          <w:szCs w:val="32"/>
          <w:highlight w:val="none"/>
          <w:lang w:val="zh-CN"/>
        </w:rPr>
        <w:t xml:space="preserve"> </w:t>
      </w:r>
      <w:bookmarkEnd w:id="0"/>
    </w:p>
    <w:bookmarkEnd w:id="7"/>
    <w:p>
      <w:pPr>
        <w:widowControl/>
        <w:spacing w:line="500" w:lineRule="exact"/>
        <w:ind w:firstLine="430"/>
        <w:jc w:val="left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为鼓励不同品牌的充分竞争，如某设备的某技术参数或要求属于个别品牌专有，则该技术参数及要求不具有限制性，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可对该参数或要求进行适当调整，但这种调整整体上要优于或相当于招标文件的相关要求，并说明调整理由，且该调整须经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磋商小组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审核认可。</w:t>
      </w:r>
    </w:p>
    <w:p>
      <w:pPr>
        <w:widowControl/>
        <w:spacing w:line="500" w:lineRule="exact"/>
        <w:ind w:firstLine="405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1、在采购活动开始前没有获准采购进口产品而开展采购活动的，视同为拒绝采购进口产品。</w:t>
      </w:r>
    </w:p>
    <w:p>
      <w:pPr>
        <w:widowControl/>
        <w:spacing w:line="500" w:lineRule="exact"/>
        <w:ind w:firstLine="405"/>
        <w:jc w:val="left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招标文件要求的国内产品参与竞争。未标注进口产品的货物均为拒绝采购进口产品。</w:t>
      </w:r>
    </w:p>
    <w:p>
      <w:pPr>
        <w:widowControl/>
        <w:spacing w:line="500" w:lineRule="exact"/>
        <w:ind w:firstLine="405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3、中标人提供的货物为进口产品的，供货时须向采购人提供所投进口产品的海关报关单等证明材料。</w:t>
      </w:r>
    </w:p>
    <w:p>
      <w:pPr>
        <w:numPr>
          <w:ilvl w:val="0"/>
          <w:numId w:val="1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sz w:val="24"/>
          <w:highlight w:val="none"/>
        </w:rPr>
        <w:t>货物需求一览表</w:t>
      </w:r>
    </w:p>
    <w:tbl>
      <w:tblPr>
        <w:tblStyle w:val="9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82"/>
        <w:gridCol w:w="3827"/>
        <w:gridCol w:w="851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货物名称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竞争性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2号教学楼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2号教学楼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2号教学楼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2号教学楼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2号教学楼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图文中心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图文中心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图文中心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实训楼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实训楼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实训楼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实训楼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3G4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直流屏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left"/>
              <w:rPr>
                <w:rFonts w:hint="default" w:ascii="宋体" w:hAnsi="宋体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详见图纸。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说明：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响应人的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响应文件必须标明所投货物的品牌与参数，保证原厂正品供货，提供相关资料等；</w:t>
            </w:r>
          </w:p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2、以上高压柜是按图纸的总配电房高压配置图中顺序进行序号编制，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响应人在编制谈判响应文件时需注意图纸中的具体技术参数要求；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、本项目设计施工图中的辅助项目材料（基础槽钢、配电房地坪、器物柜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等与本项目有关所有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其他辅材）含在投标报价内，无需单独报价。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4、成交人须按采购人提供的设计图纸施工。成交人须充分考虑学校用电的特殊性，施工中停电须提前报采购人审批，同意后方可施工；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5、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响应人应当在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响应文件中列出完成本项目供货、安装并通过验收所需的全部费用。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人投标前可以勘探现场，对工程的具体工程量、地理位置、施工现场情况和影响施工的因素以及困难条件进行察勘。按要求并结合现场实际情况，根据现场情况制定技术合理、安全可靠的施工方案。工程施工时按照施工方案确保周边设施的安全。成交后签订合同时和供货安装过程中，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响应人不得以不了解或不完全了解现场情况为由，提出任何形式的增加费用或索赔的要求。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6、成交人必须完善自身的安全管理体系和文明施工措施，杜绝野蛮施工和安全事故发生，尤其是施工人员的人身安全，若发生将由相关部门严肃处理，由施工方承担法律及经济责任。采购人在工程施工检查中，如发现质量、安全、文明措施不到位，造成事故隐患的，将对成交人处以罚款、停工整顿，由此造成的损失由成交人承担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7、成交人所有成交设备和材料到学校时验货（符合竞争性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文件的要求）合格后，才允许进场安装，凡不符合竞争性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文件要求的设备，必须更换成符合竞争性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文件要求的设备才允许进场安装调试，否则，采购人有权要求成交人停止供货或解除本项目采购合同，同时需承担由此所造成的直接和间接损失。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8、所投高压柜须具有型式试验报告，型式试验报告的复印件或扫描件或影印件在成交通知书发出后7个工作日内提供给采购人进行查验，若成交人未在竞争性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文件要求的期限内提供或成交人提供的材料不能完全符合竞争性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>文件要求，则视为虚假响应。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9、12台高压柜必须是同一厂家生产（同一品牌），3台壁挂直流屏必须是同一厂家生产（同一品牌）。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</w:rPr>
              <w:t xml:space="preserve">本次采购最高限价：人民币伍拾玖万伍仟元整（¥595000.00元） </w:t>
            </w:r>
          </w:p>
        </w:tc>
      </w:tr>
      <w:bookmarkEnd w:id="1"/>
    </w:tbl>
    <w:p>
      <w:pPr>
        <w:pStyle w:val="4"/>
        <w:ind w:firstLine="413" w:firstLineChars="196"/>
        <w:rPr>
          <w:rFonts w:hint="eastAsia" w:hAnsi="宋体" w:cs="宋体"/>
          <w:color w:val="000000"/>
        </w:rPr>
      </w:pPr>
      <w:bookmarkStart w:id="2" w:name="_Toc4579"/>
      <w:bookmarkStart w:id="3" w:name="_Toc8852"/>
    </w:p>
    <w:p>
      <w:pPr>
        <w:pStyle w:val="4"/>
        <w:rPr>
          <w:rFonts w:hAnsi="宋体" w:cs="宋体"/>
          <w:color w:val="000000"/>
        </w:rPr>
      </w:pPr>
      <w:r>
        <w:rPr>
          <w:rFonts w:hint="eastAsia" w:hAnsi="宋体" w:cs="宋体"/>
          <w:color w:val="000000"/>
        </w:rPr>
        <w:t>二、</w:t>
      </w:r>
      <w:r>
        <w:rPr>
          <w:rFonts w:hint="eastAsia" w:hAnsi="宋体" w:cs="宋体"/>
          <w:color w:val="000000"/>
          <w:lang w:val="en-US" w:eastAsia="zh-CN"/>
        </w:rPr>
        <w:t>更新</w:t>
      </w:r>
      <w:r>
        <w:rPr>
          <w:rFonts w:hint="eastAsia" w:hAnsi="宋体" w:cs="宋体"/>
          <w:color w:val="000000"/>
        </w:rPr>
        <w:t>方案及人员培训要求</w:t>
      </w:r>
      <w:bookmarkEnd w:id="2"/>
      <w:bookmarkEnd w:id="3"/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1、更新方案：原址更新，拆除原高压柜14台（成交人负责将拆除原高压柜14台堆放到采购人指定的地点），更新安装高压柜12台和壁挂直流屏3台，即进线柜3台、PT柜3台、出线柜6台、壁挂直流屏3台。</w:t>
      </w:r>
      <w:r>
        <w:rPr>
          <w:rFonts w:hint="eastAsia" w:ascii="宋体" w:hAnsi="宋体" w:cs="宋体"/>
          <w:b/>
          <w:bCs/>
          <w:color w:val="000000"/>
          <w:szCs w:val="21"/>
        </w:rPr>
        <w:t>具体见设计图纸。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2、货物安装、调试、验收合格后，成交人应对采购人的相关人员进行免费现场培训。培训内容包括基本操作、保养维修、常见故障及解决办法等。</w:t>
      </w:r>
    </w:p>
    <w:p>
      <w:pPr>
        <w:pStyle w:val="4"/>
        <w:rPr>
          <w:rFonts w:hAnsi="宋体" w:cs="宋体"/>
          <w:color w:val="000000"/>
        </w:rPr>
      </w:pPr>
      <w:bookmarkStart w:id="4" w:name="_Toc21193"/>
      <w:bookmarkStart w:id="5" w:name="_Toc8808"/>
      <w:r>
        <w:rPr>
          <w:rFonts w:hint="eastAsia" w:hAnsi="宋体" w:cs="宋体"/>
          <w:color w:val="000000"/>
        </w:rPr>
        <w:t>三、货物质量及售后服务要求</w:t>
      </w:r>
      <w:bookmarkEnd w:id="4"/>
      <w:bookmarkEnd w:id="5"/>
    </w:p>
    <w:p>
      <w:pPr>
        <w:widowControl/>
        <w:spacing w:line="500" w:lineRule="exact"/>
        <w:jc w:val="lef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1、货物质量：成交人提供的货物必须是全新、原装、合格正品，完全符合国家规定的质量标准和厂方的标准。货物完好，配件齐全。</w:t>
      </w:r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2、保修及售后服务：依据商品的保修条款及售后服务条款，提供原厂质保，质保期按照国家规定，且不低于所供品牌向用户承诺的质保期限，竞争性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磋商</w:t>
      </w:r>
      <w:r>
        <w:rPr>
          <w:rFonts w:hint="eastAsia" w:ascii="宋体" w:hAnsi="宋体" w:cs="宋体"/>
          <w:color w:val="000000"/>
          <w:szCs w:val="21"/>
        </w:rPr>
        <w:t>文件另有约定的从其约定。质保期从货物验收合格后算起。</w:t>
      </w:r>
    </w:p>
    <w:p>
      <w:pPr>
        <w:pStyle w:val="4"/>
        <w:rPr>
          <w:rFonts w:hint="eastAsia" w:hAnsi="宋体" w:cs="宋体"/>
          <w:color w:val="000000"/>
        </w:rPr>
      </w:pPr>
      <w:bookmarkStart w:id="6" w:name="_Toc466"/>
      <w:r>
        <w:rPr>
          <w:rFonts w:hint="eastAsia" w:hAnsi="宋体" w:cs="宋体"/>
          <w:color w:val="000000"/>
        </w:rPr>
        <w:t>四、验收</w:t>
      </w:r>
      <w:bookmarkEnd w:id="6"/>
    </w:p>
    <w:p>
      <w:pPr>
        <w:pStyle w:val="5"/>
      </w:pPr>
    </w:p>
    <w:p>
      <w:pPr>
        <w:pStyle w:val="6"/>
        <w:ind w:left="0" w:leftChars="0" w:firstLine="420" w:firstLineChars="200"/>
        <w:rPr>
          <w:rFonts w:hint="default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项目完工后成交人应先自检合格，然后采购人组织相关专家等人员实施验收工作。</w:t>
      </w:r>
    </w:p>
    <w:p>
      <w:pPr>
        <w:pStyle w:val="5"/>
        <w:ind w:left="0" w:leftChars="0" w:firstLine="0" w:firstLineChars="0"/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B5A37"/>
    <w:multiLevelType w:val="singleLevel"/>
    <w:tmpl w:val="BB7B5A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GM4NTIzN2Y5YTFhZGJlZTU5YTc5N2RmM2EwYWMifQ=="/>
  </w:docVars>
  <w:rsids>
    <w:rsidRoot w:val="00000000"/>
    <w:rsid w:val="738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4">
    <w:name w:val="heading 3"/>
    <w:basedOn w:val="1"/>
    <w:next w:val="5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Normal Indent"/>
    <w:basedOn w:val="1"/>
    <w:next w:val="6"/>
    <w:qFormat/>
    <w:uiPriority w:val="0"/>
    <w:pPr>
      <w:ind w:firstLine="420"/>
    </w:p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ind w:firstLine="645"/>
    </w:pPr>
    <w:rPr>
      <w:sz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2022-12-09T06:54:13Z</dcterms:created>
  <dc:creator>刘亮</dc:creator>
  <cp:lastModifiedBy>谁共我 醉明月</cp:lastModifiedBy>
  <dcterms:modified xsi:type="dcterms:W3CDTF">2022-12-09T06:54:22Z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0765C753E85948058D04A0724841A696</vt:lpwstr>
  </property>
</Properties>
</file>